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方正小标宋_GBK" w:cs="Times New Roman"/>
          <w:sz w:val="52"/>
          <w:szCs w:val="52"/>
        </w:rPr>
      </w:pPr>
    </w:p>
    <w:p>
      <w:pPr>
        <w:pStyle w:val="2"/>
        <w:rPr>
          <w:rFonts w:hint="default"/>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华容县公安局专项资金项目</w:t>
      </w:r>
      <w:r>
        <w:rPr>
          <w:rFonts w:hint="eastAsia" w:ascii="方正小标宋简体" w:hAnsi="方正小标宋简体" w:eastAsia="方正小标宋简体" w:cs="方正小标宋简体"/>
          <w:sz w:val="44"/>
          <w:szCs w:val="44"/>
        </w:rPr>
        <w:t>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pStyle w:val="2"/>
        <w:rPr>
          <w:rFonts w:hint="default" w:ascii="Times New Roman" w:hAnsi="Times New Roman" w:eastAsia="楷体_GB2312" w:cs="Times New Roman"/>
          <w:b/>
          <w:sz w:val="32"/>
          <w:szCs w:val="32"/>
        </w:rPr>
      </w:pPr>
    </w:p>
    <w:p>
      <w:pPr>
        <w:pStyle w:val="3"/>
        <w:rPr>
          <w:rFonts w:hint="default"/>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spacing w:line="600" w:lineRule="exact"/>
        <w:jc w:val="center"/>
        <w:rPr>
          <w:rFonts w:hint="eastAsia"/>
          <w:lang w:eastAsia="zh-CN"/>
        </w:rPr>
      </w:pPr>
      <w:r>
        <w:rPr>
          <w:rFonts w:hint="default" w:ascii="Times New Roman" w:hAnsi="Times New Roman" w:eastAsia="仿宋_GB2312" w:cs="Times New Roman"/>
          <w:sz w:val="32"/>
          <w:szCs w:val="32"/>
        </w:rPr>
        <w:t>部门（单位）名称：</w:t>
      </w:r>
      <w:r>
        <w:rPr>
          <w:rFonts w:hint="eastAsia" w:eastAsia="仿宋_GB2312" w:cs="Times New Roman"/>
          <w:sz w:val="32"/>
          <w:szCs w:val="32"/>
          <w:u w:val="single"/>
          <w:lang w:eastAsia="zh-CN"/>
        </w:rPr>
        <w:t>华容县公安局</w:t>
      </w:r>
    </w:p>
    <w:p>
      <w:pPr>
        <w:spacing w:line="600" w:lineRule="exact"/>
        <w:jc w:val="center"/>
        <w:rPr>
          <w:rFonts w:hint="default" w:ascii="Times New Roman" w:hAnsi="Times New Roman" w:eastAsia="楷体_GB2312" w:cs="Times New Roman"/>
          <w:sz w:val="32"/>
          <w:szCs w:val="32"/>
        </w:rPr>
      </w:pPr>
      <w:r>
        <w:rPr>
          <w:rFonts w:hint="eastAsia" w:eastAsia="楷体_GB2312" w:cs="Times New Roman"/>
          <w:sz w:val="32"/>
          <w:szCs w:val="32"/>
          <w:lang w:val="en-US" w:eastAsia="zh-CN"/>
        </w:rPr>
        <w:t>2024</w:t>
      </w:r>
      <w:r>
        <w:rPr>
          <w:rFonts w:hint="default" w:ascii="Times New Roman" w:hAnsi="Times New Roman" w:eastAsia="楷体_GB2312" w:cs="Times New Roman"/>
          <w:sz w:val="32"/>
          <w:szCs w:val="32"/>
        </w:rPr>
        <w:t>年</w:t>
      </w:r>
      <w:r>
        <w:rPr>
          <w:rFonts w:hint="eastAsia" w:eastAsia="楷体_GB2312" w:cs="Times New Roman"/>
          <w:sz w:val="32"/>
          <w:szCs w:val="32"/>
          <w:lang w:val="en-US" w:eastAsia="zh-CN"/>
        </w:rPr>
        <w:t>5</w:t>
      </w:r>
      <w:r>
        <w:rPr>
          <w:rFonts w:hint="default" w:ascii="Times New Roman" w:hAnsi="Times New Roman" w:eastAsia="楷体_GB2312" w:cs="Times New Roman"/>
          <w:sz w:val="32"/>
          <w:szCs w:val="32"/>
        </w:rPr>
        <w:t>月</w:t>
      </w:r>
      <w:r>
        <w:rPr>
          <w:rFonts w:hint="eastAsia" w:eastAsia="楷体_GB2312" w:cs="Times New Roman"/>
          <w:sz w:val="32"/>
          <w:szCs w:val="32"/>
          <w:lang w:val="en-US" w:eastAsia="zh-CN"/>
        </w:rPr>
        <w:t>28</w:t>
      </w:r>
      <w:r>
        <w:rPr>
          <w:rFonts w:hint="default" w:ascii="Times New Roman" w:hAnsi="Times New Roman" w:eastAsia="楷体_GB2312" w:cs="Times New Roman"/>
          <w:sz w:val="32"/>
          <w:szCs w:val="32"/>
        </w:rPr>
        <w:t>日</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华容县公安局专项资金项目</w:t>
      </w:r>
      <w:r>
        <w:rPr>
          <w:rFonts w:hint="eastAsia" w:ascii="方正小标宋简体" w:hAnsi="方正小标宋简体" w:eastAsia="方正小标宋简体" w:cs="方正小标宋简体"/>
          <w:sz w:val="44"/>
          <w:szCs w:val="44"/>
        </w:rPr>
        <w:t>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bookmarkStart w:id="0" w:name="_GoBack"/>
      <w:bookmarkEnd w:id="0"/>
    </w:p>
    <w:p>
      <w:pPr>
        <w:keepNext w:val="0"/>
        <w:keepLines w:val="0"/>
        <w:pageBreakBefore w:val="0"/>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p>
    <w:p>
      <w:pPr>
        <w:keepNext w:val="0"/>
        <w:keepLines w:val="0"/>
        <w:pageBreakBefore w:val="0"/>
        <w:numPr>
          <w:ilvl w:val="0"/>
          <w:numId w:val="1"/>
        </w:numPr>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黑体" w:cs="Times New Roman"/>
          <w:sz w:val="32"/>
          <w:szCs w:val="32"/>
        </w:rPr>
      </w:pPr>
      <w:r>
        <w:rPr>
          <w:rFonts w:hint="default" w:ascii="Times New Roman" w:hAnsi="Times New Roman" w:eastAsia="黑体" w:cs="Times New Roman"/>
          <w:sz w:val="32"/>
          <w:szCs w:val="32"/>
        </w:rPr>
        <w:t>部门（单位）基本情况</w:t>
      </w:r>
    </w:p>
    <w:p>
      <w:pPr>
        <w:pStyle w:val="5"/>
        <w:ind w:firstLine="560" w:firstLineChars="200"/>
        <w:rPr>
          <w:rFonts w:hint="default" w:ascii="仿宋" w:hAnsi="仿宋" w:eastAsia="仿宋" w:cs="仿宋"/>
          <w:b w:val="0"/>
          <w:color w:val="000000"/>
          <w:kern w:val="2"/>
          <w:sz w:val="28"/>
          <w:szCs w:val="28"/>
          <w:lang w:val="en-US" w:eastAsia="zh-CN" w:bidi="ar-SA"/>
        </w:rPr>
      </w:pPr>
      <w:r>
        <w:rPr>
          <w:rFonts w:hint="eastAsia" w:ascii="仿宋" w:hAnsi="仿宋" w:eastAsia="仿宋" w:cs="仿宋"/>
          <w:b w:val="0"/>
          <w:color w:val="000000"/>
          <w:kern w:val="2"/>
          <w:sz w:val="28"/>
          <w:szCs w:val="28"/>
          <w:lang w:val="en-US" w:eastAsia="zh-CN" w:bidi="ar-SA"/>
        </w:rPr>
        <w:t>华容县公安局现有行政政法编制330人，实有在职人员312人，退休人员130人，遗孀6人,协辅警、一村一辅警及退伍老兵484人。小车51台，电动巡逻车3台。公安机关是政府的重要组成部分，是国家的行政机关，同时它又担负着刑事案件的侦查任务，因而它又是国家的司法机关之一。公安机关是政府的一个职能部门，依法管理社会治安，行使国家的行政权，同时公安机关又依法侦查刑事案件，行使国家的司法权。公安机关的性质具有双重性，既有行使性又有司法性。公安机关的职责是：1、预防、制止和侦查违法犯罪活动；2、防范、打击恐怖活动；维护社会治安秩序，制止危害社会治安秩序的行为；3、管理交通、消防、危险物品；4、管理户口、公民身份证、国籍、入境事务和外国人在中国境内居留、旅行的有关事务。本年度主要工作内容是：1.维护政治稳定 化解涉稳风险；2.做好主责主业 严打违法犯罪；3.维护大局稳定 护航社会发展；4.夯实基层基础 筑牢战斗堡垒；5.完善队伍建设 提振基层活力。</w:t>
      </w:r>
    </w:p>
    <w:p>
      <w:pPr>
        <w:pStyle w:val="15"/>
        <w:keepNext w:val="0"/>
        <w:keepLines w:val="0"/>
        <w:pageBreakBefore w:val="0"/>
        <w:widowControl/>
        <w:numPr>
          <w:ilvl w:val="0"/>
          <w:numId w:val="1"/>
        </w:numPr>
        <w:kinsoku/>
        <w:wordWrap/>
        <w:overflowPunct/>
        <w:topLinePunct w:val="0"/>
        <w:autoSpaceDE/>
        <w:autoSpaceDN/>
        <w:bidi w:val="0"/>
        <w:adjustRightInd/>
        <w:snapToGrid/>
        <w:spacing w:line="610" w:lineRule="exact"/>
        <w:ind w:left="0" w:leftChars="0" w:firstLine="640" w:firstLineChars="200"/>
        <w:jc w:val="both"/>
        <w:textAlignment w:val="auto"/>
        <w:rPr>
          <w:rFonts w:hint="default" w:ascii="Times New Roman" w:hAnsi="Times New Roman" w:eastAsia="黑体" w:cs="Times New Roman"/>
          <w:kern w:val="2"/>
          <w:sz w:val="32"/>
          <w:szCs w:val="32"/>
          <w:lang w:val="en-US" w:eastAsia="zh-CN" w:bidi="ar-SA"/>
        </w:rPr>
      </w:pPr>
      <w:r>
        <w:rPr>
          <w:rFonts w:hint="default" w:ascii="Times New Roman" w:hAnsi="Times New Roman" w:eastAsia="黑体" w:cs="Times New Roman"/>
          <w:kern w:val="2"/>
          <w:sz w:val="32"/>
          <w:szCs w:val="32"/>
          <w:lang w:val="en-US" w:eastAsia="zh-CN" w:bidi="ar-SA"/>
        </w:rPr>
        <w:t>基本支出情况</w:t>
      </w:r>
    </w:p>
    <w:p>
      <w:pPr>
        <w:ind w:firstLine="560" w:firstLineChars="200"/>
        <w:rPr>
          <w:rFonts w:hint="default" w:ascii="Times New Roman" w:hAnsi="Times New Roman" w:eastAsia="黑体" w:cs="Times New Roman"/>
          <w:color w:val="auto"/>
          <w:kern w:val="2"/>
          <w:sz w:val="28"/>
          <w:szCs w:val="28"/>
          <w:lang w:val="en-US" w:eastAsia="zh-CN" w:bidi="ar-SA"/>
        </w:rPr>
      </w:pPr>
      <w:r>
        <w:rPr>
          <w:rFonts w:hint="eastAsia" w:ascii="仿宋" w:hAnsi="仿宋" w:eastAsia="仿宋" w:cs="仿宋"/>
          <w:color w:val="auto"/>
          <w:sz w:val="28"/>
          <w:szCs w:val="28"/>
        </w:rPr>
        <w:t>202</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年度财政收入总计</w:t>
      </w:r>
      <w:r>
        <w:rPr>
          <w:rFonts w:hint="eastAsia" w:ascii="仿宋" w:hAnsi="仿宋" w:eastAsia="仿宋" w:cs="仿宋"/>
          <w:color w:val="auto"/>
          <w:sz w:val="28"/>
          <w:szCs w:val="28"/>
          <w:lang w:val="en-US" w:eastAsia="zh-CN"/>
        </w:rPr>
        <w:t>11414.35</w:t>
      </w:r>
      <w:r>
        <w:rPr>
          <w:rFonts w:hint="eastAsia" w:ascii="仿宋" w:hAnsi="仿宋" w:eastAsia="仿宋" w:cs="仿宋"/>
          <w:color w:val="auto"/>
          <w:sz w:val="28"/>
          <w:szCs w:val="28"/>
        </w:rPr>
        <w:t>万元，其中一般性公共预算财政拨款</w:t>
      </w:r>
      <w:r>
        <w:rPr>
          <w:rFonts w:hint="eastAsia" w:ascii="仿宋" w:hAnsi="仿宋" w:eastAsia="仿宋" w:cs="仿宋"/>
          <w:color w:val="auto"/>
          <w:sz w:val="28"/>
          <w:szCs w:val="28"/>
          <w:lang w:val="en-US" w:eastAsia="zh-CN"/>
        </w:rPr>
        <w:t>11402.08</w:t>
      </w:r>
      <w:r>
        <w:rPr>
          <w:rFonts w:hint="eastAsia" w:ascii="仿宋" w:hAnsi="仿宋" w:eastAsia="仿宋" w:cs="仿宋"/>
          <w:color w:val="auto"/>
          <w:sz w:val="28"/>
          <w:szCs w:val="28"/>
        </w:rPr>
        <w:t>万元，上年度结余</w:t>
      </w:r>
      <w:r>
        <w:rPr>
          <w:rFonts w:hint="eastAsia" w:ascii="仿宋" w:hAnsi="仿宋" w:eastAsia="仿宋" w:cs="仿宋"/>
          <w:color w:val="auto"/>
          <w:sz w:val="28"/>
          <w:szCs w:val="28"/>
          <w:lang w:val="en-US" w:eastAsia="zh-CN"/>
        </w:rPr>
        <w:t>12.27万元</w:t>
      </w:r>
      <w:r>
        <w:rPr>
          <w:rFonts w:hint="eastAsia" w:ascii="仿宋" w:hAnsi="仿宋" w:eastAsia="仿宋" w:cs="仿宋"/>
          <w:color w:val="auto"/>
          <w:sz w:val="28"/>
          <w:szCs w:val="28"/>
        </w:rPr>
        <w:t>。支出总计</w:t>
      </w:r>
      <w:r>
        <w:rPr>
          <w:rFonts w:hint="eastAsia" w:ascii="仿宋" w:hAnsi="仿宋" w:eastAsia="仿宋" w:cs="仿宋"/>
          <w:color w:val="auto"/>
          <w:sz w:val="28"/>
          <w:szCs w:val="28"/>
          <w:lang w:val="en-US" w:eastAsia="zh-CN"/>
        </w:rPr>
        <w:t>11414.35</w:t>
      </w:r>
      <w:r>
        <w:rPr>
          <w:rFonts w:hint="eastAsia" w:ascii="仿宋" w:hAnsi="仿宋" w:eastAsia="仿宋" w:cs="仿宋"/>
          <w:color w:val="auto"/>
          <w:sz w:val="28"/>
          <w:szCs w:val="28"/>
        </w:rPr>
        <w:t>万元，其中人员支出</w:t>
      </w:r>
      <w:r>
        <w:rPr>
          <w:rFonts w:hint="eastAsia" w:ascii="仿宋" w:hAnsi="仿宋" w:eastAsia="仿宋" w:cs="仿宋"/>
          <w:color w:val="auto"/>
          <w:sz w:val="28"/>
          <w:szCs w:val="28"/>
          <w:lang w:val="en-US" w:eastAsia="zh-CN"/>
        </w:rPr>
        <w:t>7521.59</w:t>
      </w:r>
      <w:r>
        <w:rPr>
          <w:rFonts w:hint="eastAsia" w:ascii="仿宋" w:hAnsi="仿宋" w:eastAsia="仿宋" w:cs="仿宋"/>
          <w:color w:val="auto"/>
          <w:sz w:val="28"/>
          <w:szCs w:val="28"/>
        </w:rPr>
        <w:t>万元，公用支出</w:t>
      </w:r>
      <w:r>
        <w:rPr>
          <w:rFonts w:hint="eastAsia" w:ascii="仿宋" w:hAnsi="仿宋" w:eastAsia="仿宋" w:cs="仿宋"/>
          <w:color w:val="auto"/>
          <w:sz w:val="28"/>
          <w:szCs w:val="28"/>
          <w:lang w:val="en-US" w:eastAsia="zh-CN"/>
        </w:rPr>
        <w:t>2449.93</w:t>
      </w:r>
      <w:r>
        <w:rPr>
          <w:rFonts w:hint="eastAsia" w:ascii="仿宋" w:hAnsi="仿宋" w:eastAsia="仿宋" w:cs="仿宋"/>
          <w:color w:val="auto"/>
          <w:sz w:val="28"/>
          <w:szCs w:val="28"/>
        </w:rPr>
        <w:t>万元，</w:t>
      </w:r>
      <w:r>
        <w:rPr>
          <w:rFonts w:hint="eastAsia" w:ascii="仿宋" w:hAnsi="仿宋" w:eastAsia="仿宋" w:cs="仿宋"/>
          <w:color w:val="auto"/>
          <w:sz w:val="28"/>
          <w:szCs w:val="28"/>
          <w:lang w:eastAsia="zh-CN"/>
        </w:rPr>
        <w:t>项目支出</w:t>
      </w:r>
      <w:r>
        <w:rPr>
          <w:rFonts w:hint="eastAsia" w:ascii="仿宋" w:hAnsi="仿宋" w:eastAsia="仿宋" w:cs="仿宋"/>
          <w:color w:val="auto"/>
          <w:sz w:val="28"/>
          <w:szCs w:val="28"/>
          <w:lang w:val="en-US" w:eastAsia="zh-CN"/>
        </w:rPr>
        <w:t>1437.47万元</w:t>
      </w:r>
      <w:r>
        <w:rPr>
          <w:rFonts w:hint="eastAsia" w:ascii="仿宋" w:hAnsi="仿宋" w:eastAsia="仿宋" w:cs="仿宋"/>
          <w:color w:val="auto"/>
          <w:sz w:val="28"/>
          <w:szCs w:val="28"/>
          <w:lang w:eastAsia="zh-CN"/>
        </w:rPr>
        <w:t>，年度结余</w:t>
      </w:r>
      <w:r>
        <w:rPr>
          <w:rFonts w:hint="eastAsia" w:ascii="仿宋" w:hAnsi="仿宋" w:eastAsia="仿宋" w:cs="仿宋"/>
          <w:color w:val="auto"/>
          <w:sz w:val="28"/>
          <w:szCs w:val="28"/>
          <w:lang w:val="en-US" w:eastAsia="zh-CN"/>
        </w:rPr>
        <w:t>5.36万元</w:t>
      </w:r>
      <w:r>
        <w:rPr>
          <w:rFonts w:hint="eastAsia" w:ascii="仿宋" w:hAnsi="仿宋" w:eastAsia="仿宋" w:cs="仿宋"/>
          <w:color w:val="auto"/>
          <w:sz w:val="28"/>
          <w:szCs w:val="28"/>
        </w:rPr>
        <w:t>。</w:t>
      </w:r>
    </w:p>
    <w:p>
      <w:pPr>
        <w:pStyle w:val="15"/>
        <w:keepNext w:val="0"/>
        <w:keepLines w:val="0"/>
        <w:pageBreakBefore w:val="0"/>
        <w:widowControl/>
        <w:numPr>
          <w:ilvl w:val="0"/>
          <w:numId w:val="1"/>
        </w:numPr>
        <w:kinsoku/>
        <w:wordWrap/>
        <w:overflowPunct/>
        <w:topLinePunct w:val="0"/>
        <w:autoSpaceDE/>
        <w:autoSpaceDN/>
        <w:bidi w:val="0"/>
        <w:adjustRightInd/>
        <w:snapToGrid/>
        <w:spacing w:line="610" w:lineRule="exact"/>
        <w:ind w:left="0" w:leftChars="0" w:firstLine="640" w:firstLineChars="200"/>
        <w:jc w:val="both"/>
        <w:textAlignment w:val="auto"/>
        <w:rPr>
          <w:rFonts w:hint="default" w:ascii="Times New Roman" w:hAnsi="Times New Roman" w:eastAsia="黑体" w:cs="Times New Roman"/>
          <w:color w:val="auto"/>
          <w:kern w:val="2"/>
          <w:sz w:val="32"/>
          <w:szCs w:val="32"/>
          <w:lang w:val="en-US" w:eastAsia="zh-CN" w:bidi="ar-SA"/>
        </w:rPr>
      </w:pPr>
      <w:r>
        <w:rPr>
          <w:rFonts w:hint="default" w:ascii="Times New Roman" w:hAnsi="Times New Roman" w:eastAsia="黑体" w:cs="Times New Roman"/>
          <w:color w:val="auto"/>
          <w:kern w:val="2"/>
          <w:sz w:val="32"/>
          <w:szCs w:val="32"/>
          <w:lang w:val="en-US" w:eastAsia="zh-CN" w:bidi="ar-SA"/>
        </w:rPr>
        <w:t>项目支出情况</w:t>
      </w:r>
    </w:p>
    <w:p>
      <w:pPr>
        <w:pStyle w:val="15"/>
        <w:keepNext w:val="0"/>
        <w:keepLines w:val="0"/>
        <w:pageBreakBefore w:val="0"/>
        <w:widowControl/>
        <w:numPr>
          <w:ilvl w:val="0"/>
          <w:numId w:val="0"/>
        </w:numPr>
        <w:kinsoku/>
        <w:wordWrap/>
        <w:overflowPunct/>
        <w:topLinePunct w:val="0"/>
        <w:autoSpaceDE/>
        <w:autoSpaceDN/>
        <w:bidi w:val="0"/>
        <w:adjustRightInd/>
        <w:snapToGrid/>
        <w:spacing w:line="610" w:lineRule="exact"/>
        <w:ind w:firstLine="560" w:firstLineChars="200"/>
        <w:jc w:val="both"/>
        <w:textAlignment w:val="auto"/>
        <w:rPr>
          <w:rFonts w:hint="default" w:ascii="仿宋" w:hAnsi="仿宋" w:eastAsia="仿宋" w:cs="仿宋"/>
          <w:color w:val="auto"/>
          <w:kern w:val="2"/>
          <w:sz w:val="32"/>
          <w:szCs w:val="32"/>
          <w:lang w:val="en-US" w:eastAsia="zh-CN" w:bidi="ar-SA"/>
        </w:rPr>
      </w:pPr>
      <w:r>
        <w:rPr>
          <w:rFonts w:hint="eastAsia" w:ascii="仿宋" w:hAnsi="仿宋" w:eastAsia="仿宋" w:cs="仿宋"/>
          <w:color w:val="auto"/>
          <w:kern w:val="2"/>
          <w:sz w:val="28"/>
          <w:szCs w:val="28"/>
          <w:lang w:val="en-US" w:eastAsia="zh-CN" w:bidi="ar-SA"/>
        </w:rPr>
        <w:t>项目支出1437.47万元，其中警犬基地建设工程1.16万元，公安业务技术用房建设201万元，鲇鱼须派出所建设254.19万元，专项资金896.28万元，注滋口派出所作战指挥系统9.82万元，操军派出所房屋维修11.21万元，万庾派出所建设63.81万元。</w:t>
      </w:r>
    </w:p>
    <w:p>
      <w:pPr>
        <w:keepNext w:val="0"/>
        <w:keepLines w:val="0"/>
        <w:pageBreakBefore w:val="0"/>
        <w:widowControl/>
        <w:numPr>
          <w:ilvl w:val="0"/>
          <w:numId w:val="1"/>
        </w:numPr>
        <w:kinsoku/>
        <w:wordWrap/>
        <w:overflowPunct/>
        <w:topLinePunct w:val="0"/>
        <w:autoSpaceDE/>
        <w:autoSpaceDN/>
        <w:bidi w:val="0"/>
        <w:adjustRightInd/>
        <w:snapToGrid/>
        <w:spacing w:line="610" w:lineRule="exact"/>
        <w:ind w:left="0" w:leftChars="0" w:firstLine="640" w:firstLineChars="200"/>
        <w:jc w:val="both"/>
        <w:textAlignment w:val="auto"/>
        <w:rPr>
          <w:rFonts w:hint="default" w:ascii="Times New Roman" w:hAnsi="Times New Roman" w:eastAsia="黑体" w:cs="Times New Roman"/>
          <w:sz w:val="32"/>
          <w:szCs w:val="32"/>
        </w:rPr>
      </w:pPr>
      <w:r>
        <w:rPr>
          <w:rFonts w:hint="default" w:ascii="Times New Roman" w:hAnsi="Times New Roman" w:eastAsia="黑体" w:cs="Times New Roman"/>
          <w:sz w:val="32"/>
          <w:szCs w:val="32"/>
        </w:rPr>
        <w:t>部门整体支出绩效情况</w:t>
      </w:r>
    </w:p>
    <w:p>
      <w:pPr>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202</w:t>
      </w:r>
      <w:r>
        <w:rPr>
          <w:rFonts w:hint="eastAsia" w:ascii="仿宋" w:hAnsi="仿宋" w:eastAsia="仿宋" w:cs="仿宋"/>
          <w:color w:val="000000"/>
          <w:sz w:val="28"/>
          <w:szCs w:val="28"/>
          <w:lang w:val="en-US" w:eastAsia="zh-CN"/>
        </w:rPr>
        <w:t>3</w:t>
      </w:r>
      <w:r>
        <w:rPr>
          <w:rFonts w:hint="eastAsia" w:ascii="仿宋" w:hAnsi="仿宋" w:eastAsia="仿宋" w:cs="仿宋"/>
          <w:color w:val="000000"/>
          <w:sz w:val="28"/>
          <w:szCs w:val="28"/>
        </w:rPr>
        <w:t>年工作总结如下：</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（一）维护政治稳定 化解涉稳风险</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捍卫政治安全。通过情报信息的反馈、分析、上报，为党委政府当好参谋，制止群体性上访事件，处置涉政案事件，打击境外宗教渗透及网上“非法”传教案件。二是加强情报预警。密切监测网上敏感案事件、社会焦点热点问题及群体网上舆情动态，强化应对处置工作，杜绝了串联、炒作情况的发生。做到了“华容不出事，华容人不外出滋事”。</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（二）做好主责主业 严打违法犯罪</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快侦快破严重暴力犯罪案件。今年以来，我县快侦快破故意杀人、故意伤害等严重刑事犯罪案件。二是纵深推进常态化扫黑除恶斗争。全面贯彻落实《反有组织犯罪法》《公安机关反有组织犯罪工作规定》及相关配套法律制度，深入开展常态化扫黑除恶斗争。三是打击电信网络诈骗开创新局面。</w:t>
      </w:r>
      <w:r>
        <w:rPr>
          <w:rFonts w:hint="eastAsia" w:ascii="仿宋" w:hAnsi="仿宋" w:eastAsia="仿宋" w:cs="仿宋"/>
          <w:color w:val="000000"/>
          <w:sz w:val="28"/>
          <w:szCs w:val="28"/>
          <w:lang w:eastAsia="zh-CN"/>
        </w:rPr>
        <w:t>在资金预警劝阻方面，做实预警反制，</w:t>
      </w:r>
      <w:r>
        <w:rPr>
          <w:rFonts w:hint="eastAsia" w:ascii="仿宋" w:hAnsi="仿宋" w:eastAsia="仿宋" w:cs="仿宋"/>
          <w:color w:val="000000"/>
          <w:sz w:val="28"/>
          <w:szCs w:val="28"/>
          <w:lang w:val="en-US" w:eastAsia="zh-CN"/>
        </w:rPr>
        <w:t>全面落实潜在受害人保护措施。四是毒品管控常抓不懈。加强宣传和监管职能，在“6.26”国际禁毒日期间，我局联合县禁毒办举办了宣传“全民禁毒你我他，禁毒宣传进万家”主题教育活动，大大加强了广大人民群众的拒毒意识。同时加强对易制毒企业单位及重点娱乐场所管控力度。</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（三）维护大局稳定 护航社会发展</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优化营商环境。今年的“华茂非吸”“盛大金禧”等涉众型经济案件涉及人数多，涉案资金大，我局迅速成立专案组，最大力度为人民群众追赃挽损。二是加强涉枪涉爆管理。切实提高涉危涉爆安全生产系数，一是着重加强全县易制爆危险化学品的治安管控工作。2023年来，我局结合打击整治枪爆违法犯罪专项行动和县安全生产监督管理局联动，进一步澄清了全县易制爆单位。二是深入开展了“缉枪治爆”、“安全生产隐患大排查”，对涉枪爆及违反危险物品安全管理规定的进行严厉查处。全县通过村场广播、拉横幅、电子显示屏、发放《打击涉枪涉爆等违法犯罪的通告》等进行了广泛地宣传发动，做到了深入人心，取得了较好效果。三是推进交通问题整治。</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（四）夯实基层基础 筑牢战斗堡垒</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执法办案体质区改造项目稳步推进。执法办案区提质增效改造项目按时间节点如期建设中，目前已完成执法办案管理区可行性研究批复和概算批复，完成施工图纸设计和预算编制，正在进行财政评审。二是加快基础用房建设。公安业务技术用房室外配套附属工程二期建设项目已结转为2023年度重点建设项目,第一季度已完成初步设计方案，报政府常务会议决议，启动、完成立项批复的所有前期手续。鲇鱼须派出所建设项目已完成100%主体工程建设，正在启动配套设施建设。城东派出所建设项目建设用地正在审批中。</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（五）完善队伍建设 提振基层活力</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加强思想政治引领。本年度我局组织局党委会、民主生活会，撰写华容县公安局领导班子运行及队伍建设情况汇报等党委班子相关报告，编印党委发文，组织第一议题学习，理论学习中心组学习。同时，积极深入学习宣传贯彻习近平总书记给中国人民公安大学在读英烈子女重要回信精神，局党委成立了相关工作领导小组，并在党委会第一议题、中心组（扩大）集体学习上进行了学习和宣传。同时组织局属各单位积极组织全警以座谈会的形式原原本本学习，进一步掀起学习热潮。二是队伍活力持续提升。组织完成了全年的中层干部考核、公务员日常考核和公务员年度考核工作。三是完善激励优抚机制。完成了市公安局“净风3号”专项表彰奖励呈报工作、“警务评议”专项表彰奖励呈报工作、“基础信息采集攻坚”专项表彰奖励呈报工作、援疆专项表彰奖励呈报工作、“岳阳市公安机关关于省运会安全保卫”专项表彰奖励呈报工作、完成县委政法委“双十佳”表彰奖励的推报和评选工作以及日常表彰奖励的推报和评选工作。</w:t>
      </w:r>
    </w:p>
    <w:p>
      <w:pPr>
        <w:pStyle w:val="15"/>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黑体" w:cs="Times New Roman"/>
          <w:sz w:val="32"/>
          <w:szCs w:val="32"/>
        </w:rPr>
      </w:pPr>
      <w:r>
        <w:rPr>
          <w:rFonts w:hint="eastAsia" w:ascii="Times New Roman" w:hAnsi="Times New Roman" w:eastAsia="黑体" w:cs="Times New Roman"/>
          <w:sz w:val="32"/>
          <w:szCs w:val="32"/>
          <w:lang w:eastAsia="zh-CN"/>
        </w:rPr>
        <w:t>五</w:t>
      </w:r>
      <w:r>
        <w:rPr>
          <w:rFonts w:hint="default" w:ascii="Times New Roman" w:hAnsi="Times New Roman" w:eastAsia="黑体" w:cs="Times New Roman"/>
          <w:sz w:val="32"/>
          <w:szCs w:val="32"/>
        </w:rPr>
        <w:t>、存在的问题及原因分析</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在预算执行过程中存在执行偏离绩效目标的情况，主要体现在以下几个方面：</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（一）预算完成率有待提高。由于部分项目资金、结余资金下达时间较晚未能及时使用拨付，有关项目工作开展时间较晚、结算支出时间滞后导致预算完成率较低，有待进一步提高。</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二）预算绩效管理工作有待健全。对于预算绩效管理工作重视不够，对于预算绩效管理的计划性不足，我局配套的工作机制还不成熟，相应的预算绩效管理办法还在制定中。在预算执行过程中，绩效管理的参与性不足。</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sz w:val="32"/>
          <w:szCs w:val="32"/>
        </w:rPr>
      </w:pPr>
      <w:r>
        <w:rPr>
          <w:rFonts w:hint="eastAsia" w:eastAsia="黑体" w:cs="Times New Roman"/>
          <w:sz w:val="32"/>
          <w:szCs w:val="32"/>
          <w:lang w:eastAsia="zh-CN"/>
        </w:rPr>
        <w:t>六、</w:t>
      </w:r>
      <w:r>
        <w:rPr>
          <w:rFonts w:hint="default" w:ascii="Times New Roman" w:hAnsi="Times New Roman" w:eastAsia="黑体" w:cs="Times New Roman"/>
          <w:sz w:val="32"/>
          <w:szCs w:val="32"/>
        </w:rPr>
        <w:t>下一步改进措施</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default" w:ascii="仿宋" w:hAnsi="仿宋" w:eastAsia="仿宋" w:cs="仿宋"/>
          <w:sz w:val="28"/>
          <w:szCs w:val="28"/>
        </w:rPr>
      </w:pPr>
      <w:r>
        <w:rPr>
          <w:rFonts w:hint="default" w:ascii="仿宋" w:hAnsi="仿宋" w:eastAsia="仿宋" w:cs="仿宋"/>
          <w:sz w:val="28"/>
          <w:szCs w:val="28"/>
        </w:rPr>
        <w:t>一是把预算管理纳入项目管理体系，把预算编制与预算的执行工作贯穿于项目执行的全过程；二是加强与财政部门的沟通衔接，及时了解财政、财务规章制度，约束财经纪律，特别是对与当前财政经济环境不适用的事项，要及时征求财政意见，提供充分理由说服党委暂缓或停止事项；三是对业务类项目要实行深度整合，除财政据实核定项外，根据大类业务设立项目，既确保资金使用，又能应对年中临时新增业务。</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r>
        <w:rPr>
          <w:rFonts w:hint="eastAsia" w:eastAsia="黑体" w:cs="Times New Roman"/>
          <w:sz w:val="32"/>
          <w:szCs w:val="32"/>
          <w:lang w:eastAsia="zh-CN"/>
        </w:rPr>
        <w:t>七</w:t>
      </w:r>
      <w:r>
        <w:rPr>
          <w:rFonts w:hint="default" w:ascii="Times New Roman" w:hAnsi="Times New Roman" w:eastAsia="黑体" w:cs="Times New Roman"/>
          <w:sz w:val="32"/>
          <w:szCs w:val="32"/>
        </w:rPr>
        <w:t>、其他需要说明的情况</w:t>
      </w:r>
    </w:p>
    <w:p>
      <w:pPr>
        <w:widowControl/>
        <w:shd w:val="clear" w:color="auto" w:fill="FFFFFF"/>
        <w:spacing w:line="480" w:lineRule="auto"/>
        <w:ind w:firstLine="560" w:firstLineChars="200"/>
        <w:jc w:val="left"/>
        <w:rPr>
          <w:rFonts w:hint="eastAsia" w:ascii="新宋体" w:hAnsi="新宋体" w:eastAsia="新宋体" w:cs="新宋体"/>
          <w:sz w:val="28"/>
          <w:szCs w:val="28"/>
          <w:lang w:val="en-US" w:eastAsia="zh-CN"/>
        </w:rPr>
        <w:sectPr>
          <w:footerReference r:id="rId3" w:type="default"/>
          <w:pgSz w:w="11906" w:h="16838"/>
          <w:pgMar w:top="1701" w:right="1417" w:bottom="1417" w:left="1417" w:header="851" w:footer="992" w:gutter="0"/>
          <w:pgBorders>
            <w:top w:val="none" w:sz="0" w:space="0"/>
            <w:left w:val="none" w:sz="0" w:space="0"/>
            <w:bottom w:val="none" w:sz="0" w:space="0"/>
            <w:right w:val="none" w:sz="0" w:space="0"/>
          </w:pgBorders>
          <w:cols w:space="0" w:num="1"/>
          <w:rtlGutter w:val="0"/>
          <w:docGrid w:type="lines" w:linePitch="312" w:charSpace="0"/>
        </w:sectPr>
      </w:pPr>
    </w:p>
    <w:p>
      <w:pPr>
        <w:rPr>
          <w:rFonts w:hint="eastAsia"/>
          <w:lang w:val="en-US" w:eastAsia="zh-CN"/>
        </w:rPr>
      </w:pPr>
    </w:p>
    <w:sectPr>
      <w:pgSz w:w="11906" w:h="16838"/>
      <w:pgMar w:top="1984" w:right="1701" w:bottom="1984" w:left="1701" w:header="851" w:footer="992" w:gutter="0"/>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10FFD4B-9550-4717-BB48-932941BFD1BA}"/>
  </w:font>
  <w:font w:name="Arial">
    <w:panose1 w:val="020B0604020202020204"/>
    <w:charset w:val="01"/>
    <w:family w:val="swiss"/>
    <w:pitch w:val="default"/>
    <w:sig w:usb0="E0002AFF" w:usb1="C0007843" w:usb2="00000009" w:usb3="00000000" w:csb0="400001FF" w:csb1="FFFF0000"/>
    <w:embedRegular r:id="rId2" w:fontKey="{68BEB94B-C7F3-42CA-85A4-24D7939BF473}"/>
  </w:font>
  <w:font w:name="黑体">
    <w:panose1 w:val="02010609060101010101"/>
    <w:charset w:val="86"/>
    <w:family w:val="auto"/>
    <w:pitch w:val="default"/>
    <w:sig w:usb0="800002BF" w:usb1="38CF7CFA" w:usb2="00000016" w:usb3="00000000" w:csb0="00040001" w:csb1="00000000"/>
    <w:embedRegular r:id="rId3" w:fontKey="{36C2E08B-FFE0-427A-95F2-8A5345179AC4}"/>
  </w:font>
  <w:font w:name="Courier New">
    <w:panose1 w:val="02070309020205020404"/>
    <w:charset w:val="01"/>
    <w:family w:val="modern"/>
    <w:pitch w:val="default"/>
    <w:sig w:usb0="E0002AFF" w:usb1="C0007843" w:usb2="00000009" w:usb3="00000000" w:csb0="400001FF" w:csb1="FFFF0000"/>
    <w:embedRegular r:id="rId4" w:fontKey="{035EF50B-7719-428E-AC14-1DEEDBCDC9B8}"/>
  </w:font>
  <w:font w:name="Symbol">
    <w:panose1 w:val="05050102010706020507"/>
    <w:charset w:val="02"/>
    <w:family w:val="roman"/>
    <w:pitch w:val="default"/>
    <w:sig w:usb0="00000000" w:usb1="00000000" w:usb2="00000000" w:usb3="00000000" w:csb0="80000000" w:csb1="00000000"/>
    <w:embedRegular r:id="rId5" w:fontKey="{04126923-EFA4-4036-AC19-F720A6A42A36}"/>
  </w:font>
  <w:font w:name="Calibri">
    <w:panose1 w:val="020F0502020204030204"/>
    <w:charset w:val="00"/>
    <w:family w:val="swiss"/>
    <w:pitch w:val="default"/>
    <w:sig w:usb0="E00002FF" w:usb1="4000ACFF" w:usb2="00000001" w:usb3="00000000" w:csb0="2000019F" w:csb1="00000000"/>
    <w:embedRegular r:id="rId6" w:fontKey="{C1F98144-B4D9-4C97-A523-2EF2039984FE}"/>
  </w:font>
  <w:font w:name="微软雅黑">
    <w:panose1 w:val="020B0503020204020204"/>
    <w:charset w:val="86"/>
    <w:family w:val="swiss"/>
    <w:pitch w:val="default"/>
    <w:sig w:usb0="80000287" w:usb1="280F3C52" w:usb2="00000016" w:usb3="00000000" w:csb0="0004001F" w:csb1="00000000"/>
    <w:embedRegular r:id="rId7" w:fontKey="{3908BAFB-78B2-4AC6-BB19-B6C62E1144E5}"/>
  </w:font>
  <w:font w:name="楷体_GB2312">
    <w:panose1 w:val="02010609030101010101"/>
    <w:charset w:val="86"/>
    <w:family w:val="auto"/>
    <w:pitch w:val="default"/>
    <w:sig w:usb0="00000000" w:usb1="00000000" w:usb2="00000000" w:usb3="00000000" w:csb0="00000000" w:csb1="00000000"/>
    <w:embedRegular r:id="rId8" w:fontKey="{547BE7E3-31CE-4FE1-B180-20B48F17E435}"/>
  </w:font>
  <w:font w:name="方正小标宋_GBK">
    <w:panose1 w:val="03000509000000000000"/>
    <w:charset w:val="86"/>
    <w:family w:val="script"/>
    <w:pitch w:val="default"/>
    <w:sig w:usb0="00000000" w:usb1="00000000" w:usb2="00000000" w:usb3="00000000" w:csb0="00000000" w:csb1="00000000"/>
    <w:embedRegular r:id="rId9" w:fontKey="{FB617DF7-E658-4963-B69D-57B10569CFDD}"/>
  </w:font>
  <w:font w:name="方正小标宋简体">
    <w:panose1 w:val="03000509000000000000"/>
    <w:charset w:val="86"/>
    <w:family w:val="auto"/>
    <w:pitch w:val="default"/>
    <w:sig w:usb0="00000000" w:usb1="00000000" w:usb2="00000000" w:usb3="00000000" w:csb0="00000000" w:csb1="00000000"/>
    <w:embedRegular r:id="rId10" w:fontKey="{3CDA0692-8934-4D5F-B89D-FEF3C753A3A9}"/>
  </w:font>
  <w:font w:name="仿宋_GB2312">
    <w:panose1 w:val="02010609030101010101"/>
    <w:charset w:val="86"/>
    <w:family w:val="auto"/>
    <w:pitch w:val="default"/>
    <w:sig w:usb0="00000000" w:usb1="00000000" w:usb2="00000000" w:usb3="00000000" w:csb0="00000000" w:csb1="00000000"/>
    <w:embedRegular r:id="rId11" w:fontKey="{BC222171-0BA3-4CD2-8014-BEC95945F695}"/>
  </w:font>
  <w:font w:name="仿宋">
    <w:panose1 w:val="02010609060101010101"/>
    <w:charset w:val="86"/>
    <w:family w:val="auto"/>
    <w:pitch w:val="default"/>
    <w:sig w:usb0="800002BF" w:usb1="38CF7CFA" w:usb2="00000016" w:usb3="00000000" w:csb0="00040001" w:csb1="00000000"/>
    <w:embedRegular r:id="rId12" w:fontKey="{3512A99B-6F3E-4D34-8ACA-A5C53C2BC25A}"/>
  </w:font>
  <w:font w:name="新宋体">
    <w:panose1 w:val="02010609030101010101"/>
    <w:charset w:val="86"/>
    <w:family w:val="auto"/>
    <w:pitch w:val="default"/>
    <w:sig w:usb0="00000003" w:usb1="288F0000" w:usb2="00000006" w:usb3="00000000" w:csb0="00040001" w:csb1="00000000"/>
    <w:embedRegular r:id="rId13" w:fontKey="{1E2A8F9A-B458-4F71-9705-F9EEAE84FA7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right"/>
      <w:rPr>
        <w:rFonts w:ascii="仿宋_GB2312" w:eastAsia="仿宋_GB2312"/>
        <w:sz w:val="28"/>
        <w:szCs w:val="28"/>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A4bVggbAgAAIQQAAA4A&#10;AAAAAAAAAQAgAAAAHwEAAGRycy9lMm9Eb2MueG1sUEsFBgAAAAAGAAYAWQEAAKwFAAAAAA==&#10;">
              <v:fill on="f" focussize="0,0"/>
              <v:stroke on="f" weight="0.5pt"/>
              <v:imagedata o:title=""/>
              <o:lock v:ext="edit" aspectratio="f"/>
              <v:textbox inset="0mm,0mm,0mm,0mm" style="mso-fit-shape-to-text:t;">
                <w:txbxContent>
                  <w:p>
                    <w:pPr>
                      <w:pStyle w:val="6"/>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76D343A"/>
    <w:multiLevelType w:val="singleLevel"/>
    <w:tmpl w:val="776D343A"/>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Q5YTI5YWM5OTRkOWI0MDc5NDJhYzEzNTcyNDlhZTAifQ=="/>
  </w:docVars>
  <w:rsids>
    <w:rsidRoot w:val="0CCB7736"/>
    <w:rsid w:val="00047FEF"/>
    <w:rsid w:val="000A3906"/>
    <w:rsid w:val="001776F1"/>
    <w:rsid w:val="00220996"/>
    <w:rsid w:val="00551209"/>
    <w:rsid w:val="006C4C35"/>
    <w:rsid w:val="006F0A16"/>
    <w:rsid w:val="00773328"/>
    <w:rsid w:val="00821883"/>
    <w:rsid w:val="00917857"/>
    <w:rsid w:val="00A755C2"/>
    <w:rsid w:val="016A347B"/>
    <w:rsid w:val="01A07EE9"/>
    <w:rsid w:val="01A213F5"/>
    <w:rsid w:val="021A2AA6"/>
    <w:rsid w:val="02A76FE8"/>
    <w:rsid w:val="02B50488"/>
    <w:rsid w:val="03212724"/>
    <w:rsid w:val="0338470A"/>
    <w:rsid w:val="034822A9"/>
    <w:rsid w:val="036B0EE0"/>
    <w:rsid w:val="03D86621"/>
    <w:rsid w:val="040B7E59"/>
    <w:rsid w:val="04237FBF"/>
    <w:rsid w:val="04D15EA8"/>
    <w:rsid w:val="04EE6171"/>
    <w:rsid w:val="05322D41"/>
    <w:rsid w:val="05395EA9"/>
    <w:rsid w:val="062C3EBE"/>
    <w:rsid w:val="06CC14DF"/>
    <w:rsid w:val="09005685"/>
    <w:rsid w:val="0A7745B0"/>
    <w:rsid w:val="0ABD557B"/>
    <w:rsid w:val="0B382DFB"/>
    <w:rsid w:val="0B7075FC"/>
    <w:rsid w:val="0BBB5A8D"/>
    <w:rsid w:val="0C104906"/>
    <w:rsid w:val="0C1F169F"/>
    <w:rsid w:val="0CCB7736"/>
    <w:rsid w:val="0D9E0E8D"/>
    <w:rsid w:val="0DB6645F"/>
    <w:rsid w:val="0E29521B"/>
    <w:rsid w:val="0E5D61F3"/>
    <w:rsid w:val="0E71598A"/>
    <w:rsid w:val="0E981CDD"/>
    <w:rsid w:val="0EA8090F"/>
    <w:rsid w:val="0EAB7397"/>
    <w:rsid w:val="0EF755B3"/>
    <w:rsid w:val="0F016F26"/>
    <w:rsid w:val="0F17035E"/>
    <w:rsid w:val="0F4E168D"/>
    <w:rsid w:val="0F5A7D06"/>
    <w:rsid w:val="0F805BB0"/>
    <w:rsid w:val="10286EA8"/>
    <w:rsid w:val="10E00D07"/>
    <w:rsid w:val="113228CF"/>
    <w:rsid w:val="11404466"/>
    <w:rsid w:val="11963ADD"/>
    <w:rsid w:val="11EB0F5C"/>
    <w:rsid w:val="11F20483"/>
    <w:rsid w:val="11F5637E"/>
    <w:rsid w:val="12E71C37"/>
    <w:rsid w:val="130D6AD6"/>
    <w:rsid w:val="132014C0"/>
    <w:rsid w:val="136F31F8"/>
    <w:rsid w:val="138750E0"/>
    <w:rsid w:val="13CE0573"/>
    <w:rsid w:val="14B47060"/>
    <w:rsid w:val="14DA56A9"/>
    <w:rsid w:val="15103705"/>
    <w:rsid w:val="15195C1C"/>
    <w:rsid w:val="15A620D3"/>
    <w:rsid w:val="165C7D88"/>
    <w:rsid w:val="16A3369E"/>
    <w:rsid w:val="178536BD"/>
    <w:rsid w:val="183C7AED"/>
    <w:rsid w:val="18455DE3"/>
    <w:rsid w:val="184914BA"/>
    <w:rsid w:val="189541C2"/>
    <w:rsid w:val="190450BC"/>
    <w:rsid w:val="19516372"/>
    <w:rsid w:val="19575CC2"/>
    <w:rsid w:val="196878DD"/>
    <w:rsid w:val="19A80228"/>
    <w:rsid w:val="1A101464"/>
    <w:rsid w:val="1AB74849"/>
    <w:rsid w:val="1AC52FF2"/>
    <w:rsid w:val="1AD5193C"/>
    <w:rsid w:val="1AE6175D"/>
    <w:rsid w:val="1AF150EA"/>
    <w:rsid w:val="1B1520C7"/>
    <w:rsid w:val="1B742AA7"/>
    <w:rsid w:val="1C7E21FA"/>
    <w:rsid w:val="1C807869"/>
    <w:rsid w:val="1CA34935"/>
    <w:rsid w:val="1D5A640E"/>
    <w:rsid w:val="1F326D2F"/>
    <w:rsid w:val="1F7640EC"/>
    <w:rsid w:val="200E30DD"/>
    <w:rsid w:val="20963402"/>
    <w:rsid w:val="20BF0C17"/>
    <w:rsid w:val="20D76C5F"/>
    <w:rsid w:val="21057490"/>
    <w:rsid w:val="214A230E"/>
    <w:rsid w:val="21B052C4"/>
    <w:rsid w:val="22FF5445"/>
    <w:rsid w:val="237153DF"/>
    <w:rsid w:val="238D0E57"/>
    <w:rsid w:val="23BA140E"/>
    <w:rsid w:val="23BF65FD"/>
    <w:rsid w:val="24256710"/>
    <w:rsid w:val="2484192C"/>
    <w:rsid w:val="24D87D5C"/>
    <w:rsid w:val="2504590B"/>
    <w:rsid w:val="251E7983"/>
    <w:rsid w:val="260D5D83"/>
    <w:rsid w:val="26287046"/>
    <w:rsid w:val="26BC2CF5"/>
    <w:rsid w:val="26FB5F75"/>
    <w:rsid w:val="284A2254"/>
    <w:rsid w:val="28B7684E"/>
    <w:rsid w:val="28EC02A0"/>
    <w:rsid w:val="28F3607F"/>
    <w:rsid w:val="292F1467"/>
    <w:rsid w:val="29786927"/>
    <w:rsid w:val="297B51B4"/>
    <w:rsid w:val="29AD4752"/>
    <w:rsid w:val="29E40467"/>
    <w:rsid w:val="29F527E2"/>
    <w:rsid w:val="2BF23F1F"/>
    <w:rsid w:val="2BF35971"/>
    <w:rsid w:val="2C487650"/>
    <w:rsid w:val="2C714FB9"/>
    <w:rsid w:val="2C8F3CFF"/>
    <w:rsid w:val="2D59118C"/>
    <w:rsid w:val="2E387BE0"/>
    <w:rsid w:val="2E4F43C0"/>
    <w:rsid w:val="2EB10CD1"/>
    <w:rsid w:val="2EB863F3"/>
    <w:rsid w:val="2EC7368E"/>
    <w:rsid w:val="2F4169CD"/>
    <w:rsid w:val="2FAF1579"/>
    <w:rsid w:val="30665D87"/>
    <w:rsid w:val="309E5DF9"/>
    <w:rsid w:val="30FB4B41"/>
    <w:rsid w:val="31231172"/>
    <w:rsid w:val="31621165"/>
    <w:rsid w:val="31F976B0"/>
    <w:rsid w:val="32031BF6"/>
    <w:rsid w:val="323C5548"/>
    <w:rsid w:val="32D37C06"/>
    <w:rsid w:val="33100CD1"/>
    <w:rsid w:val="33AB2047"/>
    <w:rsid w:val="33C97A16"/>
    <w:rsid w:val="34811767"/>
    <w:rsid w:val="35EB0277"/>
    <w:rsid w:val="36BE29A0"/>
    <w:rsid w:val="373575AF"/>
    <w:rsid w:val="37450F88"/>
    <w:rsid w:val="376C6DA6"/>
    <w:rsid w:val="37D6106F"/>
    <w:rsid w:val="37DA16C9"/>
    <w:rsid w:val="38733035"/>
    <w:rsid w:val="38F862EB"/>
    <w:rsid w:val="39343807"/>
    <w:rsid w:val="39575428"/>
    <w:rsid w:val="39887BBC"/>
    <w:rsid w:val="39A30714"/>
    <w:rsid w:val="3A53023B"/>
    <w:rsid w:val="3AF42D2D"/>
    <w:rsid w:val="3B3A041F"/>
    <w:rsid w:val="3BAE6BF9"/>
    <w:rsid w:val="3BB96FA3"/>
    <w:rsid w:val="3C986B0F"/>
    <w:rsid w:val="3CA55B2C"/>
    <w:rsid w:val="3CB81EF7"/>
    <w:rsid w:val="3CCA47F2"/>
    <w:rsid w:val="3CDE0708"/>
    <w:rsid w:val="3D5877DF"/>
    <w:rsid w:val="3DB314AC"/>
    <w:rsid w:val="3DC55CAA"/>
    <w:rsid w:val="3DC97AC7"/>
    <w:rsid w:val="3DD556CA"/>
    <w:rsid w:val="3DE55917"/>
    <w:rsid w:val="3F450429"/>
    <w:rsid w:val="3F6E703A"/>
    <w:rsid w:val="3FE66C97"/>
    <w:rsid w:val="40226C80"/>
    <w:rsid w:val="40C451A5"/>
    <w:rsid w:val="40E4355C"/>
    <w:rsid w:val="41113762"/>
    <w:rsid w:val="414C0992"/>
    <w:rsid w:val="4156470B"/>
    <w:rsid w:val="41943ACE"/>
    <w:rsid w:val="41B75F32"/>
    <w:rsid w:val="421B1376"/>
    <w:rsid w:val="425D4066"/>
    <w:rsid w:val="4287765A"/>
    <w:rsid w:val="43173FD4"/>
    <w:rsid w:val="4324736C"/>
    <w:rsid w:val="433439D3"/>
    <w:rsid w:val="43AE1C92"/>
    <w:rsid w:val="44143822"/>
    <w:rsid w:val="44654A12"/>
    <w:rsid w:val="457C5F26"/>
    <w:rsid w:val="46C029FF"/>
    <w:rsid w:val="46FC7035"/>
    <w:rsid w:val="47A74408"/>
    <w:rsid w:val="47DC05C3"/>
    <w:rsid w:val="47FA4A2D"/>
    <w:rsid w:val="481D7C52"/>
    <w:rsid w:val="499D79A3"/>
    <w:rsid w:val="49AD3161"/>
    <w:rsid w:val="49CF255F"/>
    <w:rsid w:val="4A817083"/>
    <w:rsid w:val="4AAB46CB"/>
    <w:rsid w:val="4B2C33B4"/>
    <w:rsid w:val="4B2C5DCD"/>
    <w:rsid w:val="4B365E88"/>
    <w:rsid w:val="4B7D1173"/>
    <w:rsid w:val="4C150E22"/>
    <w:rsid w:val="4C4B0500"/>
    <w:rsid w:val="4C6A38FC"/>
    <w:rsid w:val="4CE74BC3"/>
    <w:rsid w:val="4CF5000E"/>
    <w:rsid w:val="4D511F65"/>
    <w:rsid w:val="4D8A1296"/>
    <w:rsid w:val="4DB17672"/>
    <w:rsid w:val="4E5826F1"/>
    <w:rsid w:val="4E8C0012"/>
    <w:rsid w:val="504F5345"/>
    <w:rsid w:val="506D4C65"/>
    <w:rsid w:val="509176A4"/>
    <w:rsid w:val="50AC44C4"/>
    <w:rsid w:val="50DB45B4"/>
    <w:rsid w:val="50EA6DB9"/>
    <w:rsid w:val="51CA7471"/>
    <w:rsid w:val="51D7216C"/>
    <w:rsid w:val="51E87298"/>
    <w:rsid w:val="521C2FA3"/>
    <w:rsid w:val="522529B2"/>
    <w:rsid w:val="5238100D"/>
    <w:rsid w:val="524208A8"/>
    <w:rsid w:val="52E6551B"/>
    <w:rsid w:val="53057C75"/>
    <w:rsid w:val="534A4241"/>
    <w:rsid w:val="53523659"/>
    <w:rsid w:val="53904B5B"/>
    <w:rsid w:val="53910AF4"/>
    <w:rsid w:val="53EF1781"/>
    <w:rsid w:val="54ED078B"/>
    <w:rsid w:val="555952B3"/>
    <w:rsid w:val="556B5A36"/>
    <w:rsid w:val="55AF40BB"/>
    <w:rsid w:val="5621222A"/>
    <w:rsid w:val="56442904"/>
    <w:rsid w:val="565B7789"/>
    <w:rsid w:val="56F72F7C"/>
    <w:rsid w:val="57141D7F"/>
    <w:rsid w:val="58521CEC"/>
    <w:rsid w:val="586243BF"/>
    <w:rsid w:val="58FD3402"/>
    <w:rsid w:val="59C87E7A"/>
    <w:rsid w:val="5A4F4D45"/>
    <w:rsid w:val="5A976584"/>
    <w:rsid w:val="5AAF7799"/>
    <w:rsid w:val="5AB91364"/>
    <w:rsid w:val="5B5C1753"/>
    <w:rsid w:val="5BB415A0"/>
    <w:rsid w:val="5BB81397"/>
    <w:rsid w:val="5CD44259"/>
    <w:rsid w:val="5E134100"/>
    <w:rsid w:val="5E5554D0"/>
    <w:rsid w:val="5F7A1C50"/>
    <w:rsid w:val="5FA22BD3"/>
    <w:rsid w:val="5FD77320"/>
    <w:rsid w:val="601C4AB5"/>
    <w:rsid w:val="60BE691E"/>
    <w:rsid w:val="610A7809"/>
    <w:rsid w:val="61444403"/>
    <w:rsid w:val="615D013F"/>
    <w:rsid w:val="619B7044"/>
    <w:rsid w:val="62265BDF"/>
    <w:rsid w:val="628369A8"/>
    <w:rsid w:val="62E1699A"/>
    <w:rsid w:val="63086891"/>
    <w:rsid w:val="64147F0D"/>
    <w:rsid w:val="64CC439C"/>
    <w:rsid w:val="64D157F0"/>
    <w:rsid w:val="64D66362"/>
    <w:rsid w:val="64F00E64"/>
    <w:rsid w:val="65860217"/>
    <w:rsid w:val="663C1249"/>
    <w:rsid w:val="66767F92"/>
    <w:rsid w:val="667E0AA1"/>
    <w:rsid w:val="67B1200C"/>
    <w:rsid w:val="68FB17C3"/>
    <w:rsid w:val="692559DD"/>
    <w:rsid w:val="695F12F9"/>
    <w:rsid w:val="695F172B"/>
    <w:rsid w:val="69636C3A"/>
    <w:rsid w:val="69CF7B2C"/>
    <w:rsid w:val="6A0B0004"/>
    <w:rsid w:val="6A825AF9"/>
    <w:rsid w:val="6B076970"/>
    <w:rsid w:val="6B5742DF"/>
    <w:rsid w:val="6B71724E"/>
    <w:rsid w:val="6BA1010E"/>
    <w:rsid w:val="6C146FD5"/>
    <w:rsid w:val="6CE42C45"/>
    <w:rsid w:val="6CE47E41"/>
    <w:rsid w:val="6CED5810"/>
    <w:rsid w:val="6CF92413"/>
    <w:rsid w:val="6DFE5E04"/>
    <w:rsid w:val="6E134587"/>
    <w:rsid w:val="6E87203D"/>
    <w:rsid w:val="6F114EAB"/>
    <w:rsid w:val="6F9278BB"/>
    <w:rsid w:val="6FBA24DC"/>
    <w:rsid w:val="70157969"/>
    <w:rsid w:val="70455E31"/>
    <w:rsid w:val="71267C32"/>
    <w:rsid w:val="71572F19"/>
    <w:rsid w:val="719B7427"/>
    <w:rsid w:val="72322B7A"/>
    <w:rsid w:val="724A6793"/>
    <w:rsid w:val="7292312C"/>
    <w:rsid w:val="741F26FA"/>
    <w:rsid w:val="74470DF8"/>
    <w:rsid w:val="74C421FA"/>
    <w:rsid w:val="74D86CE9"/>
    <w:rsid w:val="75A46F7D"/>
    <w:rsid w:val="75FD1676"/>
    <w:rsid w:val="76014288"/>
    <w:rsid w:val="766A6EFA"/>
    <w:rsid w:val="777A1B97"/>
    <w:rsid w:val="791C5CFD"/>
    <w:rsid w:val="799536BA"/>
    <w:rsid w:val="79D87D78"/>
    <w:rsid w:val="7AD50531"/>
    <w:rsid w:val="7B170752"/>
    <w:rsid w:val="7B8F681B"/>
    <w:rsid w:val="7BEB73BB"/>
    <w:rsid w:val="7C651C53"/>
    <w:rsid w:val="7C774FAB"/>
    <w:rsid w:val="7C7C6973"/>
    <w:rsid w:val="7C905DE8"/>
    <w:rsid w:val="7CEF7F94"/>
    <w:rsid w:val="7D747F0D"/>
    <w:rsid w:val="7D841512"/>
    <w:rsid w:val="7DD465A6"/>
    <w:rsid w:val="7DD96C0E"/>
    <w:rsid w:val="7E474F7B"/>
    <w:rsid w:val="7E8F7AC1"/>
    <w:rsid w:val="7FB843B2"/>
    <w:rsid w:val="7FF20A60"/>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微软雅黑"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locked/>
    <w:uiPriority w:val="0"/>
    <w:pPr>
      <w:keepNext/>
      <w:keepLines/>
      <w:outlineLvl w:val="0"/>
    </w:pPr>
    <w:rPr>
      <w:rFonts w:eastAsia="黑体"/>
      <w:bCs/>
      <w:kern w:val="44"/>
      <w:szCs w:val="44"/>
    </w:rPr>
  </w:style>
  <w:style w:type="paragraph" w:styleId="5">
    <w:name w:val="heading 3"/>
    <w:basedOn w:val="1"/>
    <w:next w:val="1"/>
    <w:unhideWhenUsed/>
    <w:qFormat/>
    <w:locked/>
    <w:uiPriority w:val="0"/>
    <w:pPr>
      <w:keepNext/>
      <w:keepLines/>
      <w:spacing w:beforeLines="0" w:beforeAutospacing="0" w:afterLines="0" w:afterAutospacing="0" w:line="240" w:lineRule="auto"/>
      <w:outlineLvl w:val="2"/>
    </w:pPr>
    <w:rPr>
      <w:rFonts w:eastAsia="楷体_GB2312"/>
      <w:b/>
    </w:rPr>
  </w:style>
  <w:style w:type="character" w:default="1" w:styleId="9">
    <w:name w:val="Default Paragraph Font"/>
    <w:semiHidden/>
    <w:qFormat/>
    <w:uiPriority w:val="99"/>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Body Text"/>
    <w:basedOn w:val="1"/>
    <w:next w:val="3"/>
    <w:qFormat/>
    <w:uiPriority w:val="0"/>
    <w:pPr>
      <w:widowControl w:val="0"/>
      <w:jc w:val="left"/>
    </w:pPr>
    <w:rPr>
      <w:sz w:val="32"/>
    </w:rPr>
  </w:style>
  <w:style w:type="paragraph" w:styleId="3">
    <w:name w:val="toc 5"/>
    <w:basedOn w:val="1"/>
    <w:next w:val="1"/>
    <w:qFormat/>
    <w:uiPriority w:val="0"/>
    <w:pPr>
      <w:ind w:left="1680"/>
    </w:pPr>
  </w:style>
  <w:style w:type="paragraph" w:styleId="6">
    <w:name w:val="footer"/>
    <w:basedOn w:val="1"/>
    <w:link w:val="13"/>
    <w:qFormat/>
    <w:uiPriority w:val="99"/>
    <w:pPr>
      <w:tabs>
        <w:tab w:val="center" w:pos="4153"/>
        <w:tab w:val="right" w:pos="8306"/>
      </w:tabs>
      <w:snapToGrid w:val="0"/>
      <w:jc w:val="left"/>
    </w:pPr>
    <w:rPr>
      <w:sz w:val="18"/>
      <w:szCs w:val="18"/>
    </w:rPr>
  </w:style>
  <w:style w:type="paragraph" w:styleId="7">
    <w:name w:val="header"/>
    <w:basedOn w:val="1"/>
    <w:link w:val="14"/>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footnote text"/>
    <w:basedOn w:val="1"/>
    <w:next w:val="1"/>
    <w:qFormat/>
    <w:uiPriority w:val="0"/>
    <w:pPr>
      <w:snapToGrid w:val="0"/>
      <w:jc w:val="left"/>
    </w:pPr>
    <w:rPr>
      <w:sz w:val="18"/>
      <w:szCs w:val="18"/>
    </w:rPr>
  </w:style>
  <w:style w:type="character" w:styleId="10">
    <w:name w:val="page number"/>
    <w:basedOn w:val="9"/>
    <w:qFormat/>
    <w:uiPriority w:val="99"/>
    <w:rPr>
      <w:rFonts w:cs="Times New Roman"/>
    </w:rPr>
  </w:style>
  <w:style w:type="table" w:styleId="12">
    <w:name w:val="Table Grid"/>
    <w:basedOn w:val="11"/>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3">
    <w:name w:val="Footer Char"/>
    <w:basedOn w:val="9"/>
    <w:link w:val="6"/>
    <w:semiHidden/>
    <w:qFormat/>
    <w:uiPriority w:val="99"/>
    <w:rPr>
      <w:sz w:val="18"/>
      <w:szCs w:val="18"/>
    </w:rPr>
  </w:style>
  <w:style w:type="character" w:customStyle="1" w:styleId="14">
    <w:name w:val="Header Char"/>
    <w:basedOn w:val="9"/>
    <w:link w:val="7"/>
    <w:semiHidden/>
    <w:qFormat/>
    <w:uiPriority w:val="99"/>
    <w:rPr>
      <w:sz w:val="18"/>
      <w:szCs w:val="18"/>
    </w:rPr>
  </w:style>
  <w:style w:type="paragraph" w:styleId="15">
    <w:name w:val="List Paragraph"/>
    <w:basedOn w:val="1"/>
    <w:qFormat/>
    <w:uiPriority w:val="99"/>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13</Pages>
  <Words>4354</Words>
  <Characters>4599</Characters>
  <Lines>0</Lines>
  <Paragraphs>0</Paragraphs>
  <TotalTime>61</TotalTime>
  <ScaleCrop>false</ScaleCrop>
  <LinksUpToDate>false</LinksUpToDate>
  <CharactersWithSpaces>4995</CharactersWithSpaces>
  <Application>WPS Office_11.8.2.8053_F1E327BC-269C-435d-A152-05C5408002CA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2020-06-04T01:07:00Z</dcterms:created>
  <dc:creator>Administrator</dc:creator>
  <cp:lastModifiedBy>Administrator</cp:lastModifiedBy>
  <cp:lastPrinted>2023-07-17T01:53:00Z</cp:lastPrinted>
  <dcterms:modified xsi:type="dcterms:W3CDTF">2024-05-29T09:22:18Z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2052-11.8.2.8053</vt:lpwstr>
  </property>
  <property fmtid="{D5CDD505-2E9C-101B-9397-08002B2CF9AE}" pid="3" name="KSOSaveFontToCloudKey">
    <vt:lpwstr>386772509_embed</vt:lpwstr>
  </property>
  <property fmtid="{D5CDD505-2E9C-101B-9397-08002B2CF9AE}" pid="4" name="ICV">
    <vt:lpwstr>BCEA63DAF624456AADE85B6B06C14A45_13</vt:lpwstr>
  </property>
</Properties>
</file>